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D" w:rsidRDefault="00E404ED" w:rsidP="00E404ED">
      <w:pPr>
        <w:pStyle w:val="Sansinterligne"/>
      </w:pPr>
      <w:r>
        <w:t xml:space="preserve">Sujet de bac Partie II : Exercice 1  </w:t>
      </w:r>
    </w:p>
    <w:p w:rsidR="00E404ED" w:rsidRDefault="00E404ED" w:rsidP="00E404ED">
      <w:pPr>
        <w:pStyle w:val="Sansinterligne"/>
        <w:rPr>
          <w:b/>
          <w:i/>
        </w:rPr>
      </w:pPr>
      <w:r w:rsidRPr="00C92472">
        <w:rPr>
          <w:b/>
          <w:i/>
        </w:rPr>
        <w:t>Le brassage génétique chez les Kangourous Australiens et sa contribution à la diversité génétique</w:t>
      </w:r>
    </w:p>
    <w:p w:rsidR="00E404ED" w:rsidRPr="00C92472" w:rsidRDefault="00E404ED" w:rsidP="00E404ED">
      <w:pPr>
        <w:pStyle w:val="Sansinterligne"/>
        <w:rPr>
          <w:b/>
          <w:i/>
        </w:rPr>
      </w:pPr>
    </w:p>
    <w:p w:rsidR="00E404ED" w:rsidRDefault="00E404ED" w:rsidP="00E404ED">
      <w:pPr>
        <w:pStyle w:val="Sansinterligne"/>
      </w:pPr>
      <w:r>
        <w:t xml:space="preserve">            Chez les Kangourous, comme chez tous les organismes à reproduction sexuée, la diversité génétique s’explique en partie par le brassage génétique ayant lieu lors de la reproduction sexuée.</w:t>
      </w:r>
      <w:r w:rsidRPr="00E55F00">
        <w:t xml:space="preserve"> </w:t>
      </w:r>
      <w:r>
        <w:t xml:space="preserve">Les quelques 20 000 gènes de </w:t>
      </w:r>
      <w:r>
        <w:rPr>
          <w:rStyle w:val="Accentuation"/>
        </w:rPr>
        <w:t>Macropus eugenii</w:t>
      </w:r>
      <w:r>
        <w:t>, le wallaby Dama, ont été séquencés dans le cadre d’un projet américano-australien.</w:t>
      </w:r>
    </w:p>
    <w:p w:rsidR="00E404ED" w:rsidRDefault="00E404ED" w:rsidP="00E404ED">
      <w:pPr>
        <w:pStyle w:val="Sansinterligne"/>
      </w:pPr>
      <w:r>
        <w:t>On considère ici 4 caractères phénotypiques nommés A, B, F, et D présents chez le Kangourou responsables de leur aptitude au saut mais aussi de leur excellent odorat.</w:t>
      </w:r>
    </w:p>
    <w:p w:rsidR="00E404ED" w:rsidRDefault="00E404ED" w:rsidP="00E404ED">
      <w:pPr>
        <w:pStyle w:val="Sansinterligne"/>
      </w:pPr>
      <w:r>
        <w:t>Des croisements ont été réalisés pour mettre en évidence ce brassage. Deux étudiants australiens analysent les résultats de ces croisements  (voir tableau ci-dessous).</w:t>
      </w:r>
    </w:p>
    <w:p w:rsidR="00E404ED" w:rsidRDefault="00E404ED" w:rsidP="00E404ED">
      <w:pPr>
        <w:pStyle w:val="Sansinterligne"/>
      </w:pPr>
      <w:r>
        <w:t>Ils sont tous les deux d’accord pour dire qu’il y a bien eu brassage génétique entre deux gènes lors des croisements réalisés, mais leur avis diverge concernant les mécanismes mis en jeu au cours de ce brassage.</w:t>
      </w:r>
    </w:p>
    <w:p w:rsidR="00E404ED" w:rsidRDefault="00E404ED" w:rsidP="00E404ED">
      <w:pPr>
        <w:pStyle w:val="Sansinterligne"/>
      </w:pPr>
      <w:r>
        <w:t>Brian, le premier étudiant, affirme qu’il y a eu, à chaque fois, uniquement un brassage interchromosomique.</w:t>
      </w:r>
    </w:p>
    <w:p w:rsidR="00E404ED" w:rsidRDefault="00E404ED" w:rsidP="00E404ED">
      <w:pPr>
        <w:pStyle w:val="Sansinterligne"/>
      </w:pPr>
      <w:r>
        <w:t>John, le second étudiant, affirme quant à lui qu’un brassage intrachromosomique a eu lieu, en plus, dans l’un des deux croisements.</w:t>
      </w:r>
    </w:p>
    <w:p w:rsidR="00E404ED" w:rsidRPr="005B5CFB" w:rsidRDefault="00E404ED" w:rsidP="00E404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5B5CFB">
        <w:rPr>
          <w:b/>
          <w:i/>
          <w:sz w:val="20"/>
          <w:szCs w:val="20"/>
          <w:u w:val="single"/>
        </w:rPr>
        <w:t>Question :</w:t>
      </w:r>
      <w:r w:rsidRPr="005B5CFB">
        <w:rPr>
          <w:b/>
          <w:i/>
          <w:sz w:val="20"/>
          <w:szCs w:val="20"/>
        </w:rPr>
        <w:t xml:space="preserve"> Exploitez les résultats expérimentaux proposés dans le document afin de :</w:t>
      </w:r>
    </w:p>
    <w:p w:rsidR="00E404ED" w:rsidRPr="005B5CFB" w:rsidRDefault="00E404ED" w:rsidP="00E404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5B5CFB">
        <w:rPr>
          <w:b/>
          <w:i/>
          <w:sz w:val="20"/>
          <w:szCs w:val="20"/>
        </w:rPr>
        <w:t>-justifier le fait qu’il a bien eu un brassage génétique interchromosomique dans les deux croisements.</w:t>
      </w:r>
    </w:p>
    <w:p w:rsidR="00E404ED" w:rsidRDefault="00E404ED" w:rsidP="00E404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5B5CFB">
        <w:rPr>
          <w:b/>
          <w:i/>
          <w:sz w:val="20"/>
          <w:szCs w:val="20"/>
        </w:rPr>
        <w:t>-préciser qui de John ou Brian a finalement raison, en argumentant votre réponse.</w:t>
      </w:r>
    </w:p>
    <w:p w:rsidR="00E404ED" w:rsidRPr="005B5CFB" w:rsidRDefault="00E404ED" w:rsidP="00E404E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0"/>
          <w:szCs w:val="20"/>
        </w:rPr>
      </w:pPr>
      <w:r w:rsidRPr="005B5CFB">
        <w:rPr>
          <w:i/>
          <w:sz w:val="20"/>
          <w:szCs w:val="20"/>
        </w:rPr>
        <w:t>Aucun schéma explicatif n’est attendu</w:t>
      </w:r>
    </w:p>
    <w:p w:rsidR="00E404ED" w:rsidRDefault="00E404ED" w:rsidP="00E404ED">
      <w:pPr>
        <w:pStyle w:val="Sansinterligne"/>
        <w:rPr>
          <w:b/>
          <w:i/>
        </w:rPr>
      </w:pPr>
    </w:p>
    <w:p w:rsidR="00E404ED" w:rsidRDefault="00E404ED" w:rsidP="00E404ED">
      <w:pPr>
        <w:pStyle w:val="Sansinterligne"/>
      </w:pPr>
      <w:r>
        <w:rPr>
          <w:b/>
          <w:u w:val="single"/>
        </w:rPr>
        <w:t>Document : Résultats des deux croisements-tests réalisés entre un individu de F1 hétérozygote et un parent homozygote double récessif.</w:t>
      </w:r>
    </w:p>
    <w:tbl>
      <w:tblPr>
        <w:tblStyle w:val="Grille"/>
        <w:tblW w:w="0" w:type="auto"/>
        <w:tblLook w:val="04A0"/>
      </w:tblPr>
      <w:tblGrid>
        <w:gridCol w:w="3070"/>
        <w:gridCol w:w="3071"/>
        <w:gridCol w:w="3071"/>
      </w:tblGrid>
      <w:tr w:rsidR="00E404ED" w:rsidRPr="008D0A62">
        <w:tc>
          <w:tcPr>
            <w:tcW w:w="3070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Phénotype des parents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Allèles de chaque gène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 xml:space="preserve">Résultats 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(Nombre d’individus par phénotype)</w:t>
            </w:r>
          </w:p>
        </w:tc>
      </w:tr>
      <w:tr w:rsidR="00E404ED" w:rsidRPr="008D0A62">
        <w:tc>
          <w:tcPr>
            <w:tcW w:w="3070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Croisement 1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F1 hétérozygote [AB]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X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PARENT homozygote double récessif [ab]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Gène A :   Allèle A dominant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 xml:space="preserve">                Allèle a récessif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Gène B :   Allèle B dominant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 xml:space="preserve">                Allèle b récessif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44 – AB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43 – ab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7 – Ab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6 – aB</w:t>
            </w:r>
          </w:p>
        </w:tc>
      </w:tr>
      <w:tr w:rsidR="00E404ED" w:rsidRPr="008D0A62">
        <w:tc>
          <w:tcPr>
            <w:tcW w:w="3070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Croisement 2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F1 hétérozygote [FD]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X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PARENT homozygote double récessif [fd]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Gène F :   Allèle F dominant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 xml:space="preserve">                 Allèle f récessif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Gène D :   Allèle D dominant</w:t>
            </w:r>
          </w:p>
          <w:p w:rsidR="00E404ED" w:rsidRPr="008D0A62" w:rsidRDefault="00E404ED" w:rsidP="00E03B03">
            <w:pPr>
              <w:pStyle w:val="Sansinterligne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 xml:space="preserve">                  Allèle d récessif</w:t>
            </w:r>
          </w:p>
        </w:tc>
        <w:tc>
          <w:tcPr>
            <w:tcW w:w="3071" w:type="dxa"/>
          </w:tcPr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48 – FD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52 – fd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51 – Fd</w:t>
            </w:r>
          </w:p>
          <w:p w:rsidR="00E404ED" w:rsidRPr="008D0A62" w:rsidRDefault="00E404ED" w:rsidP="00E03B03">
            <w:pPr>
              <w:pStyle w:val="Sansinterligne"/>
              <w:jc w:val="center"/>
              <w:rPr>
                <w:sz w:val="20"/>
                <w:szCs w:val="20"/>
              </w:rPr>
            </w:pPr>
            <w:r w:rsidRPr="008D0A62">
              <w:rPr>
                <w:sz w:val="20"/>
                <w:szCs w:val="20"/>
              </w:rPr>
              <w:t>46 – fD</w:t>
            </w:r>
          </w:p>
        </w:tc>
      </w:tr>
    </w:tbl>
    <w:p w:rsidR="00E404ED" w:rsidRPr="004D5588" w:rsidRDefault="00E404ED" w:rsidP="00E404ED">
      <w:pPr>
        <w:pStyle w:val="Sansinterligne"/>
        <w:rPr>
          <w:sz w:val="20"/>
          <w:szCs w:val="20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p w:rsidR="00E404ED" w:rsidRPr="008C5A1D" w:rsidRDefault="00E404ED" w:rsidP="00E404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lang w:eastAsia="fr-FR"/>
        </w:rPr>
      </w:pPr>
    </w:p>
    <w:tbl>
      <w:tblPr>
        <w:tblW w:w="446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161"/>
        <w:gridCol w:w="1632"/>
        <w:gridCol w:w="1111"/>
        <w:gridCol w:w="1197"/>
        <w:gridCol w:w="67"/>
        <w:gridCol w:w="1481"/>
        <w:gridCol w:w="551"/>
        <w:gridCol w:w="166"/>
        <w:gridCol w:w="835"/>
        <w:gridCol w:w="159"/>
      </w:tblGrid>
      <w:tr w:rsidR="00E404ED">
        <w:trPr>
          <w:gridAfter w:val="1"/>
          <w:wAfter w:w="97" w:type="pct"/>
          <w:trHeight w:val="756"/>
        </w:trPr>
        <w:tc>
          <w:tcPr>
            <w:tcW w:w="16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4ED" w:rsidRPr="008C5A1D" w:rsidRDefault="00E404ED" w:rsidP="00E03B03">
            <w:pPr>
              <w:spacing w:after="0"/>
              <w:jc w:val="center"/>
              <w:rPr>
                <w:sz w:val="18"/>
              </w:rPr>
            </w:pPr>
            <w:r w:rsidRPr="008C5A1D">
              <w:rPr>
                <w:rFonts w:ascii="Arial" w:hAnsi="Arial" w:cs="Helvetica"/>
                <w:b/>
                <w:bCs/>
                <w:color w:val="000000"/>
                <w:sz w:val="20"/>
                <w:lang w:eastAsia="fr-FR"/>
              </w:rPr>
              <w:t>Sujet  2-1 : pratique du raisonnement scientifique et argumentation</w:t>
            </w:r>
          </w:p>
        </w:tc>
        <w:tc>
          <w:tcPr>
            <w:tcW w:w="23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04ED" w:rsidRDefault="00E404ED" w:rsidP="00E03B03">
            <w:pPr>
              <w:pStyle w:val="Sansinterligne"/>
              <w:jc w:val="center"/>
            </w:pPr>
            <w:r w:rsidRPr="008C5A1D">
              <w:rPr>
                <w:b/>
              </w:rPr>
              <w:t>Qualité du raisonnement</w:t>
            </w:r>
            <w:r>
              <w:rPr>
                <w:b/>
              </w:rPr>
              <w:t xml:space="preserve"> scientifique </w:t>
            </w:r>
            <w:r w:rsidRPr="0070299B">
              <w:t>:</w:t>
            </w:r>
          </w:p>
          <w:p w:rsidR="00E404ED" w:rsidRPr="008C5A1D" w:rsidRDefault="00E404ED" w:rsidP="00E03B03">
            <w:pPr>
              <w:pStyle w:val="Sansinterligne"/>
              <w:jc w:val="center"/>
              <w:rPr>
                <w:b/>
              </w:rPr>
            </w:pPr>
            <w:r w:rsidRPr="0070299B">
              <w:t xml:space="preserve"> </w:t>
            </w:r>
            <w:r w:rsidRPr="00F54848">
              <w:rPr>
                <w:sz w:val="16"/>
                <w:szCs w:val="16"/>
              </w:rPr>
              <w:t>réponse argumentée à la question posée avec  introduction et conclusion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4ED" w:rsidRDefault="00E404ED" w:rsidP="00E03B03">
            <w:pPr>
              <w:jc w:val="center"/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4ED" w:rsidRDefault="00E404ED" w:rsidP="00E03B03">
            <w:pPr>
              <w:jc w:val="center"/>
            </w:pPr>
          </w:p>
        </w:tc>
      </w:tr>
      <w:tr w:rsidR="00E404ED">
        <w:trPr>
          <w:gridAfter w:val="1"/>
          <w:wAfter w:w="97" w:type="pct"/>
          <w:trHeight w:val="413"/>
        </w:trPr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4ED" w:rsidRDefault="00E404ED" w:rsidP="00E03B03">
            <w:pPr>
              <w:jc w:val="center"/>
            </w:pP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04ED" w:rsidRPr="00C84D36" w:rsidRDefault="00E404ED" w:rsidP="00E03B03">
            <w:pPr>
              <w:jc w:val="center"/>
              <w:rPr>
                <w:b/>
              </w:rPr>
            </w:pPr>
            <w:r w:rsidRPr="00C84D36">
              <w:rPr>
                <w:b/>
              </w:rPr>
              <w:t>/3</w:t>
            </w:r>
            <w:r>
              <w:rPr>
                <w:b/>
              </w:rPr>
              <w:t xml:space="preserve"> pts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vAlign w:val="center"/>
          </w:tcPr>
          <w:p w:rsidR="00E404ED" w:rsidRPr="00F54848" w:rsidRDefault="00E404ED" w:rsidP="00E03B03">
            <w:pPr>
              <w:pStyle w:val="Sansinterligne"/>
              <w:jc w:val="center"/>
              <w:rPr>
                <w:b/>
              </w:rPr>
            </w:pPr>
            <w:r w:rsidRPr="00F54848">
              <w:rPr>
                <w:b/>
              </w:rPr>
              <w:t>rigoureux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E404ED" w:rsidRPr="00F54848" w:rsidRDefault="00E404ED" w:rsidP="00E03B03">
            <w:pPr>
              <w:pStyle w:val="Sansinterligne"/>
              <w:ind w:right="-108"/>
              <w:jc w:val="center"/>
              <w:rPr>
                <w:b/>
                <w:sz w:val="16"/>
                <w:szCs w:val="16"/>
              </w:rPr>
            </w:pPr>
            <w:r w:rsidRPr="00F54848">
              <w:rPr>
                <w:b/>
                <w:sz w:val="16"/>
                <w:szCs w:val="16"/>
              </w:rPr>
              <w:t>Maladroit ou partiel</w:t>
            </w:r>
          </w:p>
        </w:tc>
        <w:tc>
          <w:tcPr>
            <w:tcW w:w="93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04ED" w:rsidRPr="00F54848" w:rsidRDefault="00E404ED" w:rsidP="00E03B03">
            <w:pPr>
              <w:pStyle w:val="Sansinterligne"/>
              <w:jc w:val="center"/>
              <w:rPr>
                <w:b/>
              </w:rPr>
            </w:pPr>
            <w:r w:rsidRPr="00F54848">
              <w:rPr>
                <w:b/>
              </w:rPr>
              <w:t>aucun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4ED" w:rsidRDefault="00E404ED" w:rsidP="00E03B03">
            <w:pPr>
              <w:jc w:val="center"/>
            </w:pPr>
          </w:p>
        </w:tc>
      </w:tr>
      <w:tr w:rsidR="00E404ED">
        <w:trPr>
          <w:trHeight w:val="560"/>
        </w:trPr>
        <w:tc>
          <w:tcPr>
            <w:tcW w:w="6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4ED" w:rsidRPr="008C5A1D" w:rsidRDefault="00E404ED" w:rsidP="00E03B03">
            <w:pPr>
              <w:ind w:left="34"/>
              <w:jc w:val="center"/>
              <w:rPr>
                <w:b/>
              </w:rPr>
            </w:pPr>
            <w:r w:rsidRPr="00863BCC">
              <w:rPr>
                <w:b/>
              </w:rPr>
              <w:t>qualité formelle</w:t>
            </w:r>
            <w:r>
              <w:rPr>
                <w:b/>
              </w:rPr>
              <w:t xml:space="preserve"> : </w:t>
            </w:r>
            <w:r w:rsidRPr="00E24A1A">
              <w:rPr>
                <w:sz w:val="20"/>
                <w:szCs w:val="20"/>
              </w:rPr>
              <w:t>Rédaction et/ou schématisation</w:t>
            </w:r>
            <w:r w:rsidRPr="0070299B"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  <w:r>
              <w:t>Correcte</w:t>
            </w:r>
          </w:p>
        </w:tc>
        <w:tc>
          <w:tcPr>
            <w:tcW w:w="672" w:type="pct"/>
            <w:vAlign w:val="center"/>
          </w:tcPr>
          <w:p w:rsidR="00E404ED" w:rsidRDefault="00E404ED" w:rsidP="00E03B03">
            <w:pPr>
              <w:jc w:val="center"/>
            </w:pPr>
            <w:r>
              <w:t>3</w:t>
            </w:r>
          </w:p>
        </w:tc>
        <w:tc>
          <w:tcPr>
            <w:tcW w:w="766" w:type="pct"/>
            <w:gridSpan w:val="2"/>
            <w:shd w:val="clear" w:color="auto" w:fill="D99594"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895" w:type="pct"/>
            <w:shd w:val="clear" w:color="auto" w:fill="D99594"/>
            <w:vAlign w:val="center"/>
          </w:tcPr>
          <w:p w:rsidR="00E404ED" w:rsidRPr="006558FF" w:rsidRDefault="00E404ED" w:rsidP="00E03B03">
            <w:pPr>
              <w:jc w:val="center"/>
            </w:pP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404ED" w:rsidRPr="008C5A1D" w:rsidRDefault="00E404ED" w:rsidP="00E03B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5A1D">
              <w:rPr>
                <w:sz w:val="18"/>
                <w:szCs w:val="18"/>
              </w:rPr>
              <w:t>complets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:rsidR="00E404ED" w:rsidRPr="00F54848" w:rsidRDefault="00E404ED" w:rsidP="00E03B0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4848">
              <w:rPr>
                <w:b/>
                <w:sz w:val="20"/>
                <w:szCs w:val="20"/>
              </w:rPr>
              <w:t xml:space="preserve">Eléments scientifiques tirés des documents et </w:t>
            </w:r>
            <w:r>
              <w:rPr>
                <w:b/>
                <w:sz w:val="20"/>
                <w:szCs w:val="20"/>
              </w:rPr>
              <w:t xml:space="preserve">connaissances </w:t>
            </w:r>
          </w:p>
        </w:tc>
      </w:tr>
      <w:tr w:rsidR="00E404ED">
        <w:trPr>
          <w:trHeight w:val="553"/>
        </w:trPr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  <w:r>
              <w:t>Maladroite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  <w:r>
              <w:t>2.5</w:t>
            </w:r>
          </w:p>
        </w:tc>
        <w:tc>
          <w:tcPr>
            <w:tcW w:w="766" w:type="pct"/>
            <w:gridSpan w:val="2"/>
            <w:shd w:val="clear" w:color="auto" w:fill="D99594"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895" w:type="pct"/>
            <w:shd w:val="clear" w:color="auto" w:fill="D99594"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419" w:type="pct"/>
            <w:gridSpan w:val="2"/>
            <w:vMerge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602" w:type="pct"/>
            <w:gridSpan w:val="2"/>
            <w:vMerge/>
          </w:tcPr>
          <w:p w:rsidR="00E404ED" w:rsidRDefault="00E404ED" w:rsidP="00E03B03">
            <w:pPr>
              <w:jc w:val="center"/>
            </w:pPr>
          </w:p>
        </w:tc>
      </w:tr>
      <w:tr w:rsidR="00E404ED">
        <w:trPr>
          <w:trHeight w:val="578"/>
        </w:trPr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  <w:r>
              <w:t>Correcte</w:t>
            </w:r>
          </w:p>
        </w:tc>
        <w:tc>
          <w:tcPr>
            <w:tcW w:w="672" w:type="pct"/>
            <w:shd w:val="clear" w:color="auto" w:fill="D99594" w:themeFill="accent2" w:themeFillTint="99"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766" w:type="pct"/>
            <w:gridSpan w:val="2"/>
            <w:vAlign w:val="center"/>
          </w:tcPr>
          <w:p w:rsidR="00E404ED" w:rsidRDefault="00E404ED" w:rsidP="00E03B03">
            <w:pPr>
              <w:jc w:val="center"/>
            </w:pPr>
            <w:r>
              <w:t>2</w:t>
            </w:r>
          </w:p>
        </w:tc>
        <w:tc>
          <w:tcPr>
            <w:tcW w:w="895" w:type="pct"/>
            <w:vAlign w:val="center"/>
          </w:tcPr>
          <w:p w:rsidR="00E404ED" w:rsidRDefault="00E404ED" w:rsidP="00E03B03">
            <w:pPr>
              <w:jc w:val="center"/>
            </w:pPr>
            <w:r>
              <w:t>1</w:t>
            </w:r>
          </w:p>
        </w:tc>
        <w:tc>
          <w:tcPr>
            <w:tcW w:w="419" w:type="pct"/>
            <w:gridSpan w:val="2"/>
            <w:vMerge w:val="restart"/>
            <w:textDirection w:val="tbRl"/>
            <w:vAlign w:val="center"/>
          </w:tcPr>
          <w:p w:rsidR="00E404ED" w:rsidRPr="008C5A1D" w:rsidRDefault="00E404ED" w:rsidP="00E03B0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5A1D">
              <w:rPr>
                <w:sz w:val="20"/>
                <w:szCs w:val="20"/>
              </w:rPr>
              <w:t>partiels</w:t>
            </w:r>
          </w:p>
        </w:tc>
        <w:tc>
          <w:tcPr>
            <w:tcW w:w="602" w:type="pct"/>
            <w:gridSpan w:val="2"/>
            <w:vMerge/>
          </w:tcPr>
          <w:p w:rsidR="00E404ED" w:rsidRDefault="00E404ED" w:rsidP="00E03B03">
            <w:pPr>
              <w:jc w:val="center"/>
            </w:pPr>
          </w:p>
        </w:tc>
      </w:tr>
      <w:tr w:rsidR="00E404ED">
        <w:trPr>
          <w:trHeight w:val="518"/>
        </w:trPr>
        <w:tc>
          <w:tcPr>
            <w:tcW w:w="6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987" w:type="pct"/>
            <w:tcBorders>
              <w:left w:val="single" w:sz="4" w:space="0" w:color="auto"/>
            </w:tcBorders>
            <w:vAlign w:val="center"/>
          </w:tcPr>
          <w:p w:rsidR="00E404ED" w:rsidRDefault="00E404ED" w:rsidP="00E03B03">
            <w:pPr>
              <w:jc w:val="center"/>
            </w:pPr>
            <w:r>
              <w:t>Maladroite</w:t>
            </w:r>
          </w:p>
        </w:tc>
        <w:tc>
          <w:tcPr>
            <w:tcW w:w="672" w:type="pct"/>
            <w:shd w:val="clear" w:color="auto" w:fill="D99594" w:themeFill="accent2" w:themeFillTint="99"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766" w:type="pct"/>
            <w:gridSpan w:val="2"/>
            <w:vAlign w:val="center"/>
          </w:tcPr>
          <w:p w:rsidR="00E404ED" w:rsidRDefault="00E404ED" w:rsidP="00E03B03">
            <w:pPr>
              <w:jc w:val="center"/>
            </w:pPr>
            <w:r>
              <w:t>1.5</w:t>
            </w:r>
          </w:p>
        </w:tc>
        <w:tc>
          <w:tcPr>
            <w:tcW w:w="895" w:type="pct"/>
            <w:vAlign w:val="center"/>
          </w:tcPr>
          <w:p w:rsidR="00E404ED" w:rsidRDefault="00E404ED" w:rsidP="00E03B03">
            <w:pPr>
              <w:jc w:val="center"/>
            </w:pPr>
            <w:r>
              <w:t>0</w:t>
            </w:r>
          </w:p>
        </w:tc>
        <w:tc>
          <w:tcPr>
            <w:tcW w:w="419" w:type="pct"/>
            <w:gridSpan w:val="2"/>
            <w:vMerge/>
            <w:vAlign w:val="center"/>
          </w:tcPr>
          <w:p w:rsidR="00E404ED" w:rsidRDefault="00E404ED" w:rsidP="00E03B03">
            <w:pPr>
              <w:jc w:val="center"/>
            </w:pPr>
          </w:p>
        </w:tc>
        <w:tc>
          <w:tcPr>
            <w:tcW w:w="602" w:type="pct"/>
            <w:gridSpan w:val="2"/>
            <w:vMerge/>
          </w:tcPr>
          <w:p w:rsidR="00E404ED" w:rsidRDefault="00E404ED" w:rsidP="00E03B03">
            <w:pPr>
              <w:jc w:val="center"/>
            </w:pPr>
          </w:p>
        </w:tc>
      </w:tr>
    </w:tbl>
    <w:p w:rsidR="00E404ED" w:rsidRPr="00E24A1A" w:rsidRDefault="00E404ED" w:rsidP="00E404ED">
      <w:pPr>
        <w:pStyle w:val="Sansinterligne"/>
        <w:jc w:val="center"/>
        <w:rPr>
          <w:b/>
          <w:u w:val="single"/>
          <w:lang w:eastAsia="fr-FR"/>
        </w:rPr>
      </w:pPr>
      <w:r>
        <w:rPr>
          <w:b/>
        </w:rPr>
        <w:t xml:space="preserve">       </w:t>
      </w:r>
    </w:p>
    <w:p w:rsidR="00E404ED" w:rsidRPr="00E404ED" w:rsidRDefault="00E404ED" w:rsidP="00E404ED">
      <w:pPr>
        <w:pStyle w:val="Sansinterligne"/>
        <w:jc w:val="center"/>
        <w:rPr>
          <w:b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972175" cy="142875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94" t="41220" r="8163" b="2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4ED">
        <w:rPr>
          <w:b/>
          <w:u w:val="single"/>
          <w:lang w:eastAsia="fr-FR"/>
        </w:rPr>
        <w:t>Le brassage génétique chez les Kangourous.</w:t>
      </w:r>
    </w:p>
    <w:p w:rsidR="00E404ED" w:rsidRDefault="00E404ED" w:rsidP="00E404ED">
      <w:pPr>
        <w:pStyle w:val="Sansinterligne"/>
        <w:jc w:val="center"/>
        <w:rPr>
          <w:b/>
          <w:u w:val="single"/>
          <w:lang w:eastAsia="fr-FR"/>
        </w:rPr>
      </w:pPr>
    </w:p>
    <w:p w:rsidR="00E404ED" w:rsidRDefault="00E404ED" w:rsidP="00B03EA7">
      <w:pPr>
        <w:pStyle w:val="Sansinterligne"/>
        <w:ind w:left="284" w:right="425"/>
        <w:rPr>
          <w:lang w:eastAsia="fr-FR"/>
        </w:rPr>
      </w:pPr>
      <w:r>
        <w:rPr>
          <w:b/>
        </w:rPr>
        <w:t>La q</w:t>
      </w:r>
      <w:r w:rsidRPr="008C5A1D">
        <w:rPr>
          <w:b/>
        </w:rPr>
        <w:t>ualité du raisonnement</w:t>
      </w:r>
      <w:r>
        <w:rPr>
          <w:b/>
        </w:rPr>
        <w:t xml:space="preserve"> scientifique </w:t>
      </w:r>
      <w:r>
        <w:rPr>
          <w:lang w:eastAsia="fr-FR"/>
        </w:rPr>
        <w:t xml:space="preserve"> sera </w:t>
      </w:r>
      <w:r w:rsidRPr="00C40051">
        <w:rPr>
          <w:b/>
          <w:lang w:eastAsia="fr-FR"/>
        </w:rPr>
        <w:t>rigoureuse</w:t>
      </w:r>
      <w:r>
        <w:rPr>
          <w:lang w:eastAsia="fr-FR"/>
        </w:rPr>
        <w:t xml:space="preserve"> et les </w:t>
      </w:r>
      <w:r w:rsidRPr="009F57A2">
        <w:rPr>
          <w:b/>
          <w:lang w:eastAsia="fr-FR"/>
        </w:rPr>
        <w:t>éléments scientifiques complets</w:t>
      </w:r>
      <w:r>
        <w:rPr>
          <w:lang w:eastAsia="fr-FR"/>
        </w:rPr>
        <w:t xml:space="preserve"> si on retrouve</w:t>
      </w:r>
    </w:p>
    <w:p w:rsidR="00E404ED" w:rsidRPr="00C40051" w:rsidRDefault="00E404ED" w:rsidP="00E404ED">
      <w:pPr>
        <w:pStyle w:val="Sansinterligne"/>
        <w:ind w:left="284" w:right="425"/>
        <w:rPr>
          <w:b/>
          <w:lang w:eastAsia="fr-FR"/>
        </w:rPr>
      </w:pPr>
      <w:r>
        <w:rPr>
          <w:lang w:eastAsia="fr-FR"/>
        </w:rPr>
        <w:t>-</w:t>
      </w:r>
      <w:r w:rsidRPr="00C40051">
        <w:rPr>
          <w:b/>
          <w:lang w:eastAsia="fr-FR"/>
        </w:rPr>
        <w:t xml:space="preserve">Une introduction </w:t>
      </w:r>
      <w:r>
        <w:rPr>
          <w:b/>
          <w:lang w:eastAsia="fr-FR"/>
        </w:rPr>
        <w:t xml:space="preserve">complète </w:t>
      </w:r>
      <w:r w:rsidRPr="00C40051">
        <w:rPr>
          <w:b/>
          <w:lang w:eastAsia="fr-FR"/>
        </w:rPr>
        <w:t>avec but et moyen</w:t>
      </w:r>
      <w:r>
        <w:rPr>
          <w:b/>
          <w:lang w:eastAsia="fr-FR"/>
        </w:rPr>
        <w:t>s</w:t>
      </w:r>
      <w:r w:rsidRPr="00C40051">
        <w:rPr>
          <w:b/>
          <w:lang w:eastAsia="fr-FR"/>
        </w:rPr>
        <w:t xml:space="preserve"> : 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On doit montrer, à partir des croisements étudiés chez le Kangourou, que le brassage interchromosomique, qui se produit à chaque croisement, est source de diversité et que c’est John qui a raison dans son analyse de ces croisements.</w:t>
      </w:r>
    </w:p>
    <w:p w:rsidR="00E404ED" w:rsidRDefault="00E404ED" w:rsidP="00E404ED">
      <w:pPr>
        <w:pStyle w:val="Sansinterligne"/>
        <w:ind w:left="284" w:right="425"/>
        <w:rPr>
          <w:b/>
          <w:lang w:eastAsia="fr-FR"/>
        </w:rPr>
      </w:pPr>
      <w:r>
        <w:rPr>
          <w:b/>
          <w:lang w:eastAsia="fr-FR"/>
        </w:rPr>
        <w:t>-Un développement structuré qui fait apparaitre clairement les mots clés ou notions ci-après et qui respecte les indications du sujet :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 xml:space="preserve">*Un brassage interchromosomique visible grâce au deuxième croisement. 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Équiprobabilité de la descendance obtenue. Gènes F et D indépendants et F domine f ainsi que D domine d.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Brassage interchromosomique en anaphase 1 de méiose = séparation migration aléatoire des paires de chromosomes homologues. Formation de 4 types de gamètes par l’hétérozygote de F1 de phénotype : [FD], [Fd], [Df],[ fd]. Un seul type de gamète possible pour l’autre parent : [fd].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Faire un tableau de croisement pour illustrer la descendance ou discuter des résultats visibles sur le document.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*Un brassage intrachromosomique visible grâce au premier croisement.</w:t>
      </w:r>
    </w:p>
    <w:p w:rsidR="00E404ED" w:rsidRPr="00C40051" w:rsidRDefault="00E404ED" w:rsidP="00E404ED">
      <w:pPr>
        <w:pStyle w:val="Sansinterligne"/>
        <w:ind w:left="284" w:right="425"/>
        <w:rPr>
          <w:b/>
          <w:lang w:eastAsia="fr-FR"/>
        </w:rPr>
      </w:pPr>
      <w:r>
        <w:rPr>
          <w:lang w:eastAsia="fr-FR"/>
        </w:rPr>
        <w:t>Non équiprobabilité de la descendance. Une majorité de phénotypes de type parental par rapport aux recombinés. A domine a et B domine b. Les gènes A et B sont liés. L’hétérozygote en F1 ne peut en principe ne fabriquer que 2 catégories de gamètes de phénotype : [AB] et [ab] et l’homozygote double récessif uniquement [ab]. Le faible pourcentage de recombinaison observable est apparu suite au mécanisme de crossing-over qui a eu lieu en prophase 1 de la méiose et qui permet alors la formation de gamètes de phénotype [Ab] et [aB]. A ce premier brassage intrachromosomique  vient s’ajouter ensuite le brassage interchromosomique en anaphase 1.</w:t>
      </w:r>
      <w:r w:rsidRPr="002A3B9A">
        <w:rPr>
          <w:lang w:eastAsia="fr-FR"/>
        </w:rPr>
        <w:t xml:space="preserve"> </w:t>
      </w:r>
      <w:r>
        <w:rPr>
          <w:lang w:eastAsia="fr-FR"/>
        </w:rPr>
        <w:t>Faire un tableau de croisement pour illustrer la descendance.</w:t>
      </w:r>
    </w:p>
    <w:p w:rsidR="00E404ED" w:rsidRDefault="00E404ED" w:rsidP="00E404ED">
      <w:pPr>
        <w:pStyle w:val="Sansinterligne"/>
        <w:ind w:left="284" w:right="425"/>
        <w:rPr>
          <w:lang w:eastAsia="fr-FR"/>
        </w:rPr>
      </w:pPr>
      <w:r>
        <w:rPr>
          <w:lang w:eastAsia="fr-FR"/>
        </w:rPr>
        <w:t>-</w:t>
      </w:r>
      <w:r w:rsidRPr="00C40051">
        <w:rPr>
          <w:b/>
          <w:lang w:eastAsia="fr-FR"/>
        </w:rPr>
        <w:t>une conclusion qui répond totalement à la problématique :</w:t>
      </w:r>
    </w:p>
    <w:p w:rsidR="00F41C30" w:rsidRDefault="00E404ED" w:rsidP="00E404ED">
      <w:pPr>
        <w:ind w:left="284" w:right="425"/>
        <w:jc w:val="both"/>
      </w:pPr>
      <w:r>
        <w:rPr>
          <w:lang w:eastAsia="fr-FR"/>
        </w:rPr>
        <w:t>C’est donc John qui a raison puisque l’on peut observer, dans le 1</w:t>
      </w:r>
      <w:r w:rsidRPr="00C40051">
        <w:rPr>
          <w:vertAlign w:val="superscript"/>
          <w:lang w:eastAsia="fr-FR"/>
        </w:rPr>
        <w:t>er</w:t>
      </w:r>
      <w:r>
        <w:rPr>
          <w:lang w:eastAsia="fr-FR"/>
        </w:rPr>
        <w:t xml:space="preserve"> croisement, deux brassages : l’un intrachromosomique  et l’autre interchromosomique, tandis que le deuxième croisement ne révèle que l’existence du brassage interchromosomique</w:t>
      </w:r>
      <w:r w:rsidR="00B03EA7">
        <w:rPr>
          <w:lang w:eastAsia="fr-FR"/>
        </w:rPr>
        <w:t xml:space="preserve"> source de diversité génétique chez le Kangourou.</w:t>
      </w:r>
    </w:p>
    <w:sectPr w:rsidR="00F41C30" w:rsidSect="00E404E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savePreviewPicture/>
  <w:compat/>
  <w:rsids>
    <w:rsidRoot w:val="00E404ED"/>
    <w:rsid w:val="004112DA"/>
    <w:rsid w:val="00827F3B"/>
    <w:rsid w:val="00B03EA7"/>
    <w:rsid w:val="00CB309B"/>
    <w:rsid w:val="00E404ED"/>
    <w:rsid w:val="00E430EC"/>
    <w:rsid w:val="00F41C3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E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Sansinterligne">
    <w:name w:val="No Spacing"/>
    <w:uiPriority w:val="1"/>
    <w:qFormat/>
    <w:rsid w:val="00E404ED"/>
  </w:style>
  <w:style w:type="table" w:styleId="Grille">
    <w:name w:val="Table Grid"/>
    <w:basedOn w:val="TableauNormal"/>
    <w:uiPriority w:val="59"/>
    <w:rsid w:val="00E40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404E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4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4116</Characters>
  <Application>Microsoft Macintosh Word</Application>
  <DocSecurity>0</DocSecurity>
  <Lines>34</Lines>
  <Paragraphs>8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Frederic Uyttenhove</cp:lastModifiedBy>
  <cp:revision>2</cp:revision>
  <dcterms:created xsi:type="dcterms:W3CDTF">2017-05-11T10:18:00Z</dcterms:created>
  <dcterms:modified xsi:type="dcterms:W3CDTF">2017-05-11T10:18:00Z</dcterms:modified>
</cp:coreProperties>
</file>