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99E" w:rsidRPr="00D173FD" w:rsidRDefault="0029799E" w:rsidP="0029799E">
      <w:pPr>
        <w:jc w:val="center"/>
        <w:rPr>
          <w:rFonts w:ascii="Freestyle Script" w:hAnsi="Freestyle Script"/>
          <w:b/>
          <w:caps/>
          <w:color w:val="FF0000"/>
          <w:sz w:val="72"/>
          <w:szCs w:val="72"/>
        </w:rPr>
      </w:pPr>
      <w:r w:rsidRPr="00D173FD">
        <w:rPr>
          <w:rFonts w:ascii="Freestyle Script" w:hAnsi="Freestyle Script"/>
          <w:b/>
          <w:caps/>
          <w:color w:val="FF0000"/>
          <w:sz w:val="72"/>
          <w:szCs w:val="72"/>
        </w:rPr>
        <w:t>fiche de biographie</w:t>
      </w:r>
      <w:r w:rsidR="00FE13EB" w:rsidRPr="00D173FD">
        <w:rPr>
          <w:rFonts w:ascii="Freestyle Script" w:hAnsi="Freestyle Script"/>
          <w:b/>
          <w:caps/>
          <w:color w:val="FF0000"/>
          <w:sz w:val="72"/>
          <w:szCs w:val="72"/>
        </w:rPr>
        <w:t xml:space="preserve"> de zola</w:t>
      </w:r>
    </w:p>
    <w:p w:rsidR="0029799E" w:rsidRPr="00D173FD" w:rsidRDefault="0029799E" w:rsidP="0029799E">
      <w:pPr>
        <w:rPr>
          <w:rFonts w:ascii="Algerian" w:hAnsi="Algerian"/>
          <w:b/>
          <w:caps/>
          <w:color w:val="00B0F0"/>
        </w:rPr>
      </w:pPr>
    </w:p>
    <w:p w:rsidR="0029799E" w:rsidRPr="007B674C" w:rsidRDefault="007B674C" w:rsidP="007B674C">
      <w:pPr>
        <w:jc w:val="right"/>
        <w:rPr>
          <w:rFonts w:ascii="Algerian" w:hAnsi="Algerian"/>
          <w:b/>
          <w:caps/>
          <w:color w:val="AD9713"/>
          <w:sz w:val="36"/>
          <w:szCs w:val="36"/>
        </w:rPr>
      </w:pPr>
      <w:r>
        <w:rPr>
          <w:rFonts w:ascii="Algerian" w:hAnsi="Algerian"/>
          <w:b/>
          <w:caps/>
          <w:noProof/>
          <w:color w:val="AD9713"/>
          <w:sz w:val="36"/>
          <w:szCs w:val="36"/>
          <w:lang w:eastAsia="fr-FR"/>
        </w:rPr>
        <w:drawing>
          <wp:inline distT="0" distB="0" distL="0" distR="0">
            <wp:extent cx="5760720" cy="4325055"/>
            <wp:effectExtent l="19050" t="0" r="0" b="0"/>
            <wp:docPr id="13" name="Image 2" descr="U:\emile-zola-presentacin-2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emile-zola-presentacin-2-63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lgerian" w:hAnsi="Algerian"/>
          <w:b/>
          <w:caps/>
          <w:color w:val="AD9713"/>
          <w:sz w:val="36"/>
          <w:szCs w:val="36"/>
        </w:rPr>
        <w:t>maceo et killyan 407</w:t>
      </w:r>
    </w:p>
    <w:p w:rsidR="00FE13EB" w:rsidRDefault="00FE13EB" w:rsidP="00FE1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ZOLA</w:t>
      </w:r>
      <w:r w:rsidRPr="00BF5FCA">
        <w:rPr>
          <w:rFonts w:ascii="Comic Sans MS" w:hAnsi="Comic Sans MS"/>
          <w:b/>
          <w:color w:val="FF0000"/>
        </w:rPr>
        <w:t xml:space="preserve"> (</w:t>
      </w:r>
      <w:r>
        <w:rPr>
          <w:rFonts w:ascii="Comic Sans MS" w:hAnsi="Comic Sans MS"/>
          <w:b/>
          <w:color w:val="FF0000"/>
        </w:rPr>
        <w:t xml:space="preserve">date de naissance 2 avril 1840 – mort le 29 </w:t>
      </w:r>
      <w:r w:rsidR="007B674C">
        <w:rPr>
          <w:rFonts w:ascii="Comic Sans MS" w:hAnsi="Comic Sans MS"/>
          <w:b/>
          <w:color w:val="FF0000"/>
        </w:rPr>
        <w:t>septembre</w:t>
      </w:r>
      <w:r>
        <w:rPr>
          <w:rFonts w:ascii="Comic Sans MS" w:hAnsi="Comic Sans MS"/>
          <w:b/>
          <w:color w:val="FF0000"/>
        </w:rPr>
        <w:t xml:space="preserve"> 1902)</w:t>
      </w:r>
    </w:p>
    <w:p w:rsidR="00FE13EB" w:rsidRPr="00BF5FCA" w:rsidRDefault="00FE13EB" w:rsidP="00FE1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color w:val="FF0000"/>
        </w:rPr>
      </w:pPr>
    </w:p>
    <w:p w:rsidR="00FE13EB" w:rsidRPr="00282AAB" w:rsidRDefault="00FE13EB" w:rsidP="00FE13EB">
      <w:pPr>
        <w:rPr>
          <w:rFonts w:ascii="Comic Sans MS" w:hAnsi="Comic Sans MS"/>
          <w:b/>
          <w:color w:val="FF0000"/>
          <w:u w:val="single"/>
        </w:rPr>
      </w:pPr>
      <w:r w:rsidRPr="00282AAB">
        <w:rPr>
          <w:rFonts w:ascii="Comic Sans MS" w:hAnsi="Comic Sans MS"/>
          <w:b/>
          <w:color w:val="FF0000"/>
          <w:u w:val="single"/>
        </w:rPr>
        <w:t>I. SA VIE</w:t>
      </w:r>
    </w:p>
    <w:p w:rsidR="007B674C" w:rsidRDefault="00FE13EB" w:rsidP="00FE13EB">
      <w:pPr>
        <w:rPr>
          <w:color w:val="00B0F0"/>
          <w:sz w:val="36"/>
          <w:szCs w:val="36"/>
        </w:rPr>
      </w:pPr>
      <w:r w:rsidRPr="00282AAB">
        <w:rPr>
          <w:rFonts w:ascii="Comic Sans MS" w:hAnsi="Comic Sans MS"/>
        </w:rPr>
        <w:tab/>
      </w:r>
      <w:r>
        <w:rPr>
          <w:rFonts w:ascii="Comic Sans MS" w:hAnsi="Comic Sans MS"/>
          <w:b/>
          <w:color w:val="00B050"/>
        </w:rPr>
        <w:t>A</w:t>
      </w:r>
      <w:r w:rsidRPr="00FE13EB">
        <w:rPr>
          <w:rFonts w:ascii="Comic Sans MS" w:hAnsi="Comic Sans MS"/>
          <w:b/>
          <w:color w:val="00B050"/>
          <w:sz w:val="36"/>
          <w:szCs w:val="36"/>
        </w:rPr>
        <w:t>. l</w:t>
      </w:r>
      <w:r w:rsidRPr="00FE13EB">
        <w:rPr>
          <w:color w:val="00B050"/>
          <w:sz w:val="36"/>
          <w:szCs w:val="36"/>
        </w:rPr>
        <w:t>ieu de vie et naissance</w:t>
      </w:r>
      <w:r>
        <w:rPr>
          <w:color w:val="00B050"/>
          <w:sz w:val="36"/>
          <w:szCs w:val="36"/>
        </w:rPr>
        <w:t> </w:t>
      </w:r>
      <w:r w:rsidRPr="007B674C">
        <w:rPr>
          <w:color w:val="00B0F0"/>
          <w:sz w:val="36"/>
          <w:szCs w:val="36"/>
        </w:rPr>
        <w:t xml:space="preserve">: Émile Édouard Charles Antoine Zola naît le 2 avril 1840 à Paris, au 10, rue Saint-Joseph.ils se sont installé en 1843 à </w:t>
      </w:r>
      <w:r w:rsidR="007B674C" w:rsidRPr="007B674C">
        <w:rPr>
          <w:color w:val="00B0F0"/>
          <w:sz w:val="36"/>
          <w:szCs w:val="36"/>
        </w:rPr>
        <w:t>Aix-en-Provence. Installé</w:t>
      </w:r>
      <w:r w:rsidRPr="007B674C">
        <w:rPr>
          <w:color w:val="00B0F0"/>
          <w:sz w:val="36"/>
          <w:szCs w:val="36"/>
        </w:rPr>
        <w:t xml:space="preserve"> en France pour échapper à la domination autrichienne.</w:t>
      </w:r>
      <w:r w:rsidR="007B674C">
        <w:rPr>
          <w:color w:val="00B0F0"/>
          <w:sz w:val="36"/>
          <w:szCs w:val="36"/>
        </w:rPr>
        <w:t xml:space="preserve">il a </w:t>
      </w:r>
      <w:r w:rsidRPr="007B674C">
        <w:rPr>
          <w:color w:val="00B0F0"/>
          <w:sz w:val="36"/>
          <w:szCs w:val="36"/>
        </w:rPr>
        <w:lastRenderedPageBreak/>
        <w:t>grandit à Aix-en-Provenc</w:t>
      </w:r>
      <w:r w:rsidR="007B674C" w:rsidRPr="007B674C">
        <w:rPr>
          <w:color w:val="00B0F0"/>
          <w:sz w:val="36"/>
          <w:szCs w:val="36"/>
        </w:rPr>
        <w:t>e</w:t>
      </w:r>
      <w:r w:rsidR="007B674C">
        <w:rPr>
          <w:noProof/>
          <w:color w:val="00B0F0"/>
          <w:sz w:val="36"/>
          <w:szCs w:val="36"/>
          <w:lang w:eastAsia="fr-FR"/>
        </w:rPr>
        <w:drawing>
          <wp:inline distT="0" distB="0" distL="0" distR="0">
            <wp:extent cx="5760720" cy="3886143"/>
            <wp:effectExtent l="19050" t="0" r="0" b="0"/>
            <wp:docPr id="14" name="Image 3" descr="U:\Capture-d’écran-2016-01-18-à-14.06.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Capture-d’écran-2016-01-18-à-14.06.37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86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3EB" w:rsidRPr="007B674C" w:rsidRDefault="00FE13EB" w:rsidP="00FE13EB">
      <w:pPr>
        <w:rPr>
          <w:color w:val="00B0F0"/>
          <w:sz w:val="36"/>
          <w:szCs w:val="36"/>
        </w:rPr>
      </w:pPr>
      <w:r w:rsidRPr="00282AAB">
        <w:rPr>
          <w:rFonts w:ascii="Comic Sans MS" w:hAnsi="Comic Sans MS"/>
          <w:b/>
          <w:color w:val="00B050"/>
        </w:rPr>
        <w:t>B. ETUDES, METIERS, ACTIVITES</w:t>
      </w:r>
      <w:r>
        <w:rPr>
          <w:rFonts w:ascii="Comic Sans MS" w:hAnsi="Comic Sans MS"/>
          <w:b/>
          <w:color w:val="00B050"/>
        </w:rPr>
        <w:t> </w:t>
      </w:r>
      <w:r w:rsidR="007B674C">
        <w:rPr>
          <w:rFonts w:ascii="Comic Sans MS" w:hAnsi="Comic Sans MS"/>
          <w:b/>
          <w:color w:val="00B050"/>
        </w:rPr>
        <w:t>:</w:t>
      </w:r>
      <w:r w:rsidR="007B674C" w:rsidRPr="00FE13EB">
        <w:rPr>
          <w:rFonts w:ascii="Comic Sans MS" w:hAnsi="Comic Sans MS"/>
          <w:b/>
          <w:color w:val="548DD4" w:themeColor="text2" w:themeTint="99"/>
          <w:sz w:val="36"/>
          <w:szCs w:val="36"/>
        </w:rPr>
        <w:t xml:space="preserve"> </w:t>
      </w:r>
      <w:r w:rsidR="007B674C" w:rsidRPr="007B674C">
        <w:rPr>
          <w:rFonts w:ascii="Comic Sans MS" w:hAnsi="Comic Sans MS"/>
          <w:b/>
          <w:color w:val="00B0F0"/>
          <w:sz w:val="36"/>
          <w:szCs w:val="36"/>
        </w:rPr>
        <w:t>c’est</w:t>
      </w:r>
      <w:r w:rsidRPr="007B674C">
        <w:rPr>
          <w:rFonts w:ascii="Comic Sans MS" w:hAnsi="Comic Sans MS"/>
          <w:b/>
          <w:color w:val="00B0F0"/>
          <w:sz w:val="36"/>
          <w:szCs w:val="36"/>
        </w:rPr>
        <w:t xml:space="preserve"> un</w:t>
      </w:r>
      <w:r w:rsidRPr="007B674C">
        <w:rPr>
          <w:color w:val="00B0F0"/>
          <w:sz w:val="36"/>
          <w:szCs w:val="36"/>
        </w:rPr>
        <w:t xml:space="preserve"> Journaliste et </w:t>
      </w:r>
      <w:r w:rsidR="007B674C" w:rsidRPr="007B674C">
        <w:rPr>
          <w:color w:val="00B0F0"/>
          <w:sz w:val="36"/>
          <w:szCs w:val="36"/>
        </w:rPr>
        <w:t>écrivain</w:t>
      </w:r>
      <w:r w:rsidRPr="007B674C">
        <w:rPr>
          <w:color w:val="00B0F0"/>
          <w:sz w:val="36"/>
          <w:szCs w:val="36"/>
        </w:rPr>
        <w:t xml:space="preserve"> Aix, se lie avec </w:t>
      </w:r>
      <w:hyperlink r:id="rId7" w:history="1">
        <w:r w:rsidRPr="007B674C">
          <w:rPr>
            <w:rStyle w:val="Lienhypertexte"/>
            <w:color w:val="00B0F0"/>
            <w:sz w:val="36"/>
            <w:szCs w:val="36"/>
          </w:rPr>
          <w:t>Paul Cézanne</w:t>
        </w:r>
      </w:hyperlink>
      <w:r w:rsidRPr="007B674C">
        <w:rPr>
          <w:color w:val="00B0F0"/>
          <w:sz w:val="36"/>
          <w:szCs w:val="36"/>
        </w:rPr>
        <w:t>. Revient à Paris avec sa mère. Échec au baccalauréat (1859) et abandon des études. Entre en 1862 chez Hachette ; y passe d'un emploi subalterne à la direction du service publicité.</w:t>
      </w:r>
    </w:p>
    <w:p w:rsidR="00FE13EB" w:rsidRPr="007B674C" w:rsidRDefault="00FE13EB" w:rsidP="00FE13EB">
      <w:pPr>
        <w:rPr>
          <w:rFonts w:ascii="Comic Sans MS" w:hAnsi="Comic Sans MS"/>
          <w:b/>
          <w:color w:val="00B0F0"/>
          <w:sz w:val="36"/>
          <w:szCs w:val="36"/>
        </w:rPr>
      </w:pPr>
      <w:r w:rsidRPr="00282AAB">
        <w:rPr>
          <w:rFonts w:ascii="Comic Sans MS" w:hAnsi="Comic Sans MS"/>
          <w:b/>
          <w:color w:val="00B050"/>
        </w:rPr>
        <w:tab/>
        <w:t>C. PRINCIPAUX EVENENEMENTS PERSONNELS</w:t>
      </w:r>
      <w:r>
        <w:rPr>
          <w:rFonts w:ascii="Comic Sans MS" w:hAnsi="Comic Sans MS"/>
          <w:b/>
          <w:color w:val="00B050"/>
        </w:rPr>
        <w:t> </w:t>
      </w:r>
      <w:r w:rsidRPr="007B674C">
        <w:rPr>
          <w:rFonts w:ascii="Comic Sans MS" w:hAnsi="Comic Sans MS"/>
          <w:b/>
          <w:color w:val="00B0F0"/>
          <w:sz w:val="36"/>
          <w:szCs w:val="36"/>
        </w:rPr>
        <w:t>:</w:t>
      </w:r>
      <w:r w:rsidRPr="007B674C">
        <w:rPr>
          <w:color w:val="00B0F0"/>
          <w:sz w:val="36"/>
          <w:szCs w:val="36"/>
        </w:rPr>
        <w:t xml:space="preserve"> Publie les </w:t>
      </w:r>
      <w:r w:rsidRPr="007B674C">
        <w:rPr>
          <w:i/>
          <w:iCs/>
          <w:color w:val="00B0F0"/>
          <w:sz w:val="36"/>
          <w:szCs w:val="36"/>
        </w:rPr>
        <w:t>Contes à Ninon</w:t>
      </w:r>
      <w:r w:rsidRPr="007B674C">
        <w:rPr>
          <w:color w:val="00B0F0"/>
          <w:sz w:val="36"/>
          <w:szCs w:val="36"/>
        </w:rPr>
        <w:t xml:space="preserve"> (1864), puis son premier roman, </w:t>
      </w:r>
      <w:r w:rsidRPr="007B674C">
        <w:rPr>
          <w:i/>
          <w:iCs/>
          <w:color w:val="00B0F0"/>
          <w:sz w:val="36"/>
          <w:szCs w:val="36"/>
        </w:rPr>
        <w:t>La Confession de Claude</w:t>
      </w:r>
      <w:r w:rsidRPr="007B674C">
        <w:rPr>
          <w:color w:val="00B0F0"/>
          <w:sz w:val="36"/>
          <w:szCs w:val="36"/>
        </w:rPr>
        <w:t xml:space="preserve"> (1865). À partir de 1866, collaboration à plusieurs journaux, critique littéraire et artistique : admiration du </w:t>
      </w:r>
      <w:r w:rsidRPr="007B674C">
        <w:rPr>
          <w:i/>
          <w:iCs/>
          <w:color w:val="00B0F0"/>
          <w:sz w:val="36"/>
          <w:szCs w:val="36"/>
        </w:rPr>
        <w:t xml:space="preserve"> Haines</w:t>
      </w:r>
      <w:r w:rsidRPr="007B674C">
        <w:rPr>
          <w:color w:val="00B0F0"/>
          <w:sz w:val="36"/>
          <w:szCs w:val="36"/>
        </w:rPr>
        <w:t>, 1866).</w:t>
      </w:r>
    </w:p>
    <w:p w:rsidR="007B674C" w:rsidRDefault="00FE13EB" w:rsidP="00FE13EB">
      <w:pPr>
        <w:rPr>
          <w:rFonts w:ascii="Comic Sans MS" w:hAnsi="Comic Sans MS"/>
          <w:b/>
          <w:color w:val="00B050"/>
        </w:rPr>
      </w:pPr>
      <w:r w:rsidRPr="00282AAB">
        <w:rPr>
          <w:rFonts w:ascii="Comic Sans MS" w:hAnsi="Comic Sans MS"/>
          <w:b/>
          <w:color w:val="00B050"/>
        </w:rPr>
        <w:tab/>
      </w:r>
    </w:p>
    <w:p w:rsidR="007B674C" w:rsidRPr="007B674C" w:rsidRDefault="00FE13EB" w:rsidP="00FE13EB">
      <w:pPr>
        <w:rPr>
          <w:rFonts w:ascii="Comic Sans MS" w:hAnsi="Comic Sans MS"/>
          <w:b/>
          <w:color w:val="00B050"/>
        </w:rPr>
      </w:pPr>
      <w:r w:rsidRPr="00282AAB">
        <w:rPr>
          <w:rFonts w:ascii="Comic Sans MS" w:hAnsi="Comic Sans MS"/>
          <w:b/>
          <w:color w:val="00B050"/>
        </w:rPr>
        <w:t>D.PERSONNAGES OU EVENEMENTS AYANT MARQUE L’AUTEUR</w:t>
      </w:r>
      <w:r>
        <w:rPr>
          <w:rFonts w:ascii="Comic Sans MS" w:hAnsi="Comic Sans MS"/>
          <w:b/>
          <w:color w:val="00B050"/>
        </w:rPr>
        <w:t> :</w:t>
      </w:r>
    </w:p>
    <w:p w:rsidR="00FE13EB" w:rsidRPr="007B674C" w:rsidRDefault="00FE13EB" w:rsidP="00FE13EB">
      <w:pPr>
        <w:rPr>
          <w:rFonts w:ascii="Comic Sans MS" w:hAnsi="Comic Sans MS"/>
          <w:b/>
          <w:color w:val="00B0F0"/>
          <w:sz w:val="36"/>
          <w:szCs w:val="36"/>
        </w:rPr>
      </w:pPr>
      <w:r w:rsidRPr="00D173FD">
        <w:rPr>
          <w:color w:val="00B0F0"/>
          <w:sz w:val="36"/>
          <w:szCs w:val="36"/>
        </w:rPr>
        <w:lastRenderedPageBreak/>
        <w:t>Père ingénieur italien (François Zola), mère beauceronne (née Émilie Aubert). Installation en 18</w:t>
      </w:r>
      <w:bookmarkStart w:id="0" w:name="_GoBack"/>
      <w:bookmarkEnd w:id="0"/>
      <w:r w:rsidRPr="00D173FD">
        <w:rPr>
          <w:color w:val="00B0F0"/>
          <w:sz w:val="36"/>
          <w:szCs w:val="36"/>
        </w:rPr>
        <w:t>43 à Aix-en-Provence. Mort du père en 1847 : la famille est dans la gêne. . Derniers cycles romanesques</w:t>
      </w:r>
      <w:r w:rsidRPr="007B674C">
        <w:rPr>
          <w:color w:val="00B0F0"/>
          <w:sz w:val="36"/>
          <w:szCs w:val="36"/>
        </w:rPr>
        <w:t xml:space="preserve">, dans une perspective messianique : </w:t>
      </w:r>
      <w:hyperlink r:id="rId8" w:history="1">
        <w:r w:rsidRPr="007B674C">
          <w:rPr>
            <w:rStyle w:val="Lienhypertexte"/>
            <w:color w:val="00B0F0"/>
            <w:sz w:val="36"/>
            <w:szCs w:val="36"/>
          </w:rPr>
          <w:t>les Trois Villes</w:t>
        </w:r>
      </w:hyperlink>
      <w:r w:rsidRPr="007B674C">
        <w:rPr>
          <w:color w:val="00B0F0"/>
          <w:sz w:val="36"/>
          <w:szCs w:val="36"/>
        </w:rPr>
        <w:t xml:space="preserve"> (1894-1898) ; </w:t>
      </w:r>
      <w:hyperlink r:id="rId9" w:history="1">
        <w:r w:rsidRPr="007B674C">
          <w:rPr>
            <w:rStyle w:val="Lienhypertexte"/>
            <w:color w:val="00B0F0"/>
            <w:sz w:val="36"/>
            <w:szCs w:val="36"/>
          </w:rPr>
          <w:t>les Quatre Évangiles</w:t>
        </w:r>
      </w:hyperlink>
      <w:r w:rsidRPr="007B674C">
        <w:rPr>
          <w:color w:val="00B0F0"/>
          <w:sz w:val="36"/>
          <w:szCs w:val="36"/>
        </w:rPr>
        <w:t xml:space="preserve"> (1899-inachevé).</w:t>
      </w:r>
    </w:p>
    <w:p w:rsidR="00FE13EB" w:rsidRPr="00282AAB" w:rsidRDefault="00FE13EB" w:rsidP="00FE13EB">
      <w:pPr>
        <w:rPr>
          <w:rFonts w:ascii="Comic Sans MS" w:hAnsi="Comic Sans MS"/>
          <w:b/>
        </w:rPr>
      </w:pPr>
      <w:r w:rsidRPr="007B674C">
        <w:rPr>
          <w:color w:val="00B0F0"/>
          <w:sz w:val="36"/>
          <w:szCs w:val="36"/>
        </w:rPr>
        <w:t>Le 31 octobre 1862, Émile Zola est naturalisé français. Ayant tiré au sort un bon numéro et, au surplus, étant fils de veuve, il ne fera pas de service militaire</w:t>
      </w:r>
      <w:r>
        <w:t>.</w:t>
      </w:r>
    </w:p>
    <w:p w:rsidR="00FE13EB" w:rsidRPr="00282AAB" w:rsidRDefault="00FE13EB" w:rsidP="00FE13EB">
      <w:pPr>
        <w:rPr>
          <w:rFonts w:ascii="Comic Sans MS" w:hAnsi="Comic Sans MS"/>
          <w:b/>
          <w:color w:val="FF0000"/>
          <w:u w:val="single"/>
        </w:rPr>
      </w:pPr>
      <w:r w:rsidRPr="00282AAB">
        <w:rPr>
          <w:rFonts w:ascii="Comic Sans MS" w:hAnsi="Comic Sans MS"/>
          <w:b/>
          <w:color w:val="FF0000"/>
          <w:u w:val="single"/>
        </w:rPr>
        <w:t>II. SON ŒUVRE</w:t>
      </w:r>
    </w:p>
    <w:p w:rsidR="00FE13EB" w:rsidRPr="007B674C" w:rsidRDefault="00FE13EB" w:rsidP="00FE13EB">
      <w:pPr>
        <w:rPr>
          <w:rFonts w:ascii="Comic Sans MS" w:hAnsi="Comic Sans MS"/>
          <w:b/>
          <w:color w:val="00B0F0"/>
          <w:sz w:val="36"/>
          <w:szCs w:val="36"/>
        </w:rPr>
      </w:pPr>
      <w:r w:rsidRPr="00282AAB">
        <w:rPr>
          <w:rFonts w:ascii="Comic Sans MS" w:hAnsi="Comic Sans MS"/>
          <w:b/>
          <w:color w:val="00B050"/>
        </w:rPr>
        <w:tab/>
      </w:r>
      <w:r w:rsidRPr="007B674C">
        <w:rPr>
          <w:rFonts w:ascii="Comic Sans MS" w:hAnsi="Comic Sans MS"/>
          <w:b/>
          <w:color w:val="00B050"/>
          <w:sz w:val="36"/>
          <w:szCs w:val="36"/>
        </w:rPr>
        <w:t>A. SES GENRES LITTERAIRES</w:t>
      </w:r>
      <w:r w:rsidRPr="00282AAB">
        <w:rPr>
          <w:rFonts w:ascii="Comic Sans MS" w:hAnsi="Comic Sans MS"/>
          <w:b/>
          <w:color w:val="00B050"/>
        </w:rPr>
        <w:t xml:space="preserve"> </w:t>
      </w:r>
      <w:r w:rsidRPr="007B674C">
        <w:rPr>
          <w:rFonts w:ascii="Comic Sans MS" w:hAnsi="Comic Sans MS"/>
          <w:b/>
          <w:color w:val="00B050"/>
          <w:sz w:val="36"/>
          <w:szCs w:val="36"/>
        </w:rPr>
        <w:t>(roman, nouvelle, théâtre, poésie)</w:t>
      </w:r>
      <w:r w:rsidRPr="007B674C">
        <w:rPr>
          <w:rFonts w:ascii="Comic Sans MS" w:hAnsi="Comic Sans MS"/>
          <w:b/>
          <w:color w:val="00B0F0"/>
          <w:sz w:val="36"/>
          <w:szCs w:val="36"/>
        </w:rPr>
        <w:t xml:space="preserve">. Illustrer chaque genre par un titre d’œuvre, à souligner, avec la date de </w:t>
      </w:r>
      <w:r w:rsidR="007B674C" w:rsidRPr="007B674C">
        <w:rPr>
          <w:rFonts w:ascii="Comic Sans MS" w:hAnsi="Comic Sans MS"/>
          <w:b/>
          <w:color w:val="00B0F0"/>
          <w:sz w:val="36"/>
          <w:szCs w:val="36"/>
        </w:rPr>
        <w:t>publication.</w:t>
      </w:r>
      <w:r w:rsidR="007B674C" w:rsidRPr="007B674C">
        <w:rPr>
          <w:color w:val="00B0F0"/>
          <w:sz w:val="36"/>
          <w:szCs w:val="36"/>
        </w:rPr>
        <w:t xml:space="preserve"> Après</w:t>
      </w:r>
      <w:r w:rsidRPr="007B674C">
        <w:rPr>
          <w:color w:val="00B0F0"/>
          <w:sz w:val="36"/>
          <w:szCs w:val="36"/>
        </w:rPr>
        <w:t xml:space="preserve"> </w:t>
      </w:r>
      <w:r w:rsidRPr="007B674C">
        <w:rPr>
          <w:i/>
          <w:iCs/>
          <w:color w:val="00B0F0"/>
          <w:sz w:val="36"/>
          <w:szCs w:val="36"/>
        </w:rPr>
        <w:t>Thérèse</w:t>
      </w:r>
      <w:r w:rsidR="007B674C">
        <w:rPr>
          <w:i/>
          <w:iCs/>
          <w:color w:val="00B0F0"/>
          <w:sz w:val="36"/>
          <w:szCs w:val="36"/>
        </w:rPr>
        <w:t xml:space="preserve"> Raquin</w:t>
      </w:r>
      <w:r w:rsidRPr="007B674C">
        <w:rPr>
          <w:color w:val="00B0F0"/>
          <w:sz w:val="36"/>
          <w:szCs w:val="36"/>
        </w:rPr>
        <w:t xml:space="preserve">(1867) et </w:t>
      </w:r>
      <w:r w:rsidRPr="007B674C">
        <w:rPr>
          <w:i/>
          <w:iCs/>
          <w:color w:val="00B0F0"/>
          <w:sz w:val="36"/>
          <w:szCs w:val="36"/>
        </w:rPr>
        <w:t>Madeleine Férat</w:t>
      </w:r>
      <w:r w:rsidRPr="007B674C">
        <w:rPr>
          <w:color w:val="00B0F0"/>
          <w:sz w:val="36"/>
          <w:szCs w:val="36"/>
        </w:rPr>
        <w:t xml:space="preserve"> (1868), conçoit la série des </w:t>
      </w:r>
      <w:r w:rsidRPr="007B674C">
        <w:rPr>
          <w:i/>
          <w:iCs/>
          <w:color w:val="00B0F0"/>
          <w:sz w:val="36"/>
          <w:szCs w:val="36"/>
        </w:rPr>
        <w:t>Rougon-Macquart</w:t>
      </w:r>
      <w:r w:rsidRPr="007B674C">
        <w:rPr>
          <w:color w:val="00B0F0"/>
          <w:sz w:val="36"/>
          <w:szCs w:val="36"/>
        </w:rPr>
        <w:t xml:space="preserve"> dès 1868 mais n'en lance la publication qu'après la chute de Napoléon III : le cycle des </w:t>
      </w:r>
      <w:hyperlink r:id="rId10" w:history="1">
        <w:r w:rsidRPr="007B674C">
          <w:rPr>
            <w:rStyle w:val="Lienhypertexte"/>
            <w:color w:val="00B0F0"/>
            <w:sz w:val="36"/>
            <w:szCs w:val="36"/>
          </w:rPr>
          <w:t>Rougon-Macquart</w:t>
        </w:r>
      </w:hyperlink>
      <w:r w:rsidRPr="007B674C">
        <w:rPr>
          <w:color w:val="00B0F0"/>
          <w:sz w:val="36"/>
          <w:szCs w:val="36"/>
        </w:rPr>
        <w:t xml:space="preserve"> devient l’</w:t>
      </w:r>
      <w:r w:rsidRPr="007B674C">
        <w:rPr>
          <w:i/>
          <w:iCs/>
          <w:color w:val="00B0F0"/>
          <w:sz w:val="36"/>
          <w:szCs w:val="36"/>
        </w:rPr>
        <w:t>histoire naturelle et sociale d'une famille sous le second Empire</w:t>
      </w:r>
      <w:r w:rsidRPr="007B674C">
        <w:rPr>
          <w:color w:val="00B0F0"/>
          <w:sz w:val="36"/>
          <w:szCs w:val="36"/>
        </w:rPr>
        <w:t xml:space="preserve">. Mariage avec Alexandrine Meley (1870). Parution de </w:t>
      </w:r>
      <w:hyperlink r:id="rId11" w:history="1">
        <w:r w:rsidRPr="007B674C">
          <w:rPr>
            <w:rStyle w:val="Lienhypertexte"/>
            <w:color w:val="00B0F0"/>
            <w:sz w:val="36"/>
            <w:szCs w:val="36"/>
          </w:rPr>
          <w:t>la Fortune des Rougon</w:t>
        </w:r>
      </w:hyperlink>
      <w:r w:rsidRPr="007B674C">
        <w:rPr>
          <w:color w:val="00B0F0"/>
          <w:sz w:val="36"/>
          <w:szCs w:val="36"/>
        </w:rPr>
        <w:t xml:space="preserve"> (1871) ; </w:t>
      </w:r>
      <w:hyperlink r:id="rId12" w:history="1">
        <w:r w:rsidRPr="007B674C">
          <w:rPr>
            <w:rStyle w:val="Lienhypertexte"/>
            <w:color w:val="00B0F0"/>
            <w:sz w:val="36"/>
            <w:szCs w:val="36"/>
          </w:rPr>
          <w:t>le Ventre de Paris</w:t>
        </w:r>
      </w:hyperlink>
      <w:r w:rsidRPr="007B674C">
        <w:rPr>
          <w:color w:val="00B0F0"/>
          <w:sz w:val="36"/>
          <w:szCs w:val="36"/>
        </w:rPr>
        <w:t xml:space="preserve"> (1873). Attentif à la vie quotidienne et à la détresse jusque dans les classes inférieures de la société, l’auteur est accusé de se complaire dans l’ordure</w:t>
      </w:r>
      <w:r w:rsidR="007B674C" w:rsidRPr="007B674C">
        <w:rPr>
          <w:color w:val="00B0F0"/>
          <w:sz w:val="36"/>
          <w:szCs w:val="36"/>
        </w:rPr>
        <w:t>.</w:t>
      </w:r>
      <w:r w:rsidR="007B674C" w:rsidRPr="007B674C">
        <w:rPr>
          <w:i/>
          <w:iCs/>
          <w:noProof/>
          <w:lang w:eastAsia="fr-FR"/>
        </w:rPr>
        <w:t xml:space="preserve"> </w:t>
      </w:r>
    </w:p>
    <w:p w:rsidR="00FE13EB" w:rsidRPr="00282AAB" w:rsidRDefault="00FE13EB" w:rsidP="00FE13EB">
      <w:pPr>
        <w:rPr>
          <w:rFonts w:ascii="Comic Sans MS" w:hAnsi="Comic Sans MS"/>
          <w:b/>
          <w:color w:val="00B050"/>
        </w:rPr>
      </w:pPr>
    </w:p>
    <w:p w:rsidR="00FE13EB" w:rsidRPr="007B674C" w:rsidRDefault="00FE13EB" w:rsidP="00FE13EB">
      <w:pPr>
        <w:rPr>
          <w:rFonts w:ascii="Comic Sans MS" w:hAnsi="Comic Sans MS"/>
          <w:b/>
          <w:color w:val="00B0F0"/>
          <w:sz w:val="36"/>
          <w:szCs w:val="36"/>
        </w:rPr>
      </w:pPr>
      <w:r w:rsidRPr="00282AAB">
        <w:rPr>
          <w:rFonts w:ascii="Comic Sans MS" w:hAnsi="Comic Sans MS"/>
          <w:b/>
          <w:color w:val="00B050"/>
        </w:rPr>
        <w:tab/>
      </w:r>
      <w:r w:rsidRPr="007B674C">
        <w:rPr>
          <w:rFonts w:ascii="Comic Sans MS" w:hAnsi="Comic Sans MS"/>
          <w:b/>
          <w:color w:val="00B050"/>
          <w:sz w:val="36"/>
          <w:szCs w:val="36"/>
        </w:rPr>
        <w:t>B. LES SUJETS DE SES ŒUVRES</w:t>
      </w:r>
      <w:r w:rsidRPr="00282AAB">
        <w:rPr>
          <w:rFonts w:ascii="Comic Sans MS" w:hAnsi="Comic Sans MS"/>
          <w:b/>
          <w:color w:val="00B050"/>
        </w:rPr>
        <w:t xml:space="preserve"> </w:t>
      </w:r>
      <w:r w:rsidRPr="007B674C">
        <w:rPr>
          <w:rFonts w:ascii="Comic Sans MS" w:hAnsi="Comic Sans MS"/>
          <w:b/>
          <w:color w:val="00B050"/>
          <w:sz w:val="36"/>
          <w:szCs w:val="36"/>
        </w:rPr>
        <w:t>(thèmes, milieux, personnages, sentiments évoqués</w:t>
      </w:r>
      <w:r w:rsidR="007B674C" w:rsidRPr="007B674C">
        <w:rPr>
          <w:rFonts w:ascii="Comic Sans MS" w:hAnsi="Comic Sans MS"/>
          <w:b/>
          <w:color w:val="00B050"/>
          <w:sz w:val="36"/>
          <w:szCs w:val="36"/>
        </w:rPr>
        <w:t>)</w:t>
      </w:r>
      <w:r w:rsidR="007B674C" w:rsidRPr="007B674C">
        <w:rPr>
          <w:color w:val="00B0F0"/>
          <w:sz w:val="36"/>
          <w:szCs w:val="36"/>
        </w:rPr>
        <w:t xml:space="preserve"> Attentif</w:t>
      </w:r>
      <w:r w:rsidRPr="007B674C">
        <w:rPr>
          <w:color w:val="00B0F0"/>
          <w:sz w:val="36"/>
          <w:szCs w:val="36"/>
        </w:rPr>
        <w:t xml:space="preserve"> à </w:t>
      </w:r>
      <w:r w:rsidRPr="007B674C">
        <w:rPr>
          <w:color w:val="00B0F0"/>
          <w:sz w:val="36"/>
          <w:szCs w:val="36"/>
        </w:rPr>
        <w:lastRenderedPageBreak/>
        <w:t xml:space="preserve">la vie quotidienne et à la détresse jusque dans les classes </w:t>
      </w:r>
      <w:proofErr w:type="gramStart"/>
      <w:r w:rsidRPr="007B674C">
        <w:rPr>
          <w:color w:val="00B0F0"/>
          <w:sz w:val="36"/>
          <w:szCs w:val="36"/>
        </w:rPr>
        <w:t>inférieures</w:t>
      </w:r>
      <w:proofErr w:type="gramEnd"/>
      <w:r w:rsidRPr="007B674C">
        <w:rPr>
          <w:color w:val="00B0F0"/>
          <w:sz w:val="36"/>
          <w:szCs w:val="36"/>
        </w:rPr>
        <w:t xml:space="preserve"> de la société, l’auteur est accusé de se complaire dans l’ordure.</w:t>
      </w:r>
    </w:p>
    <w:p w:rsidR="00FE13EB" w:rsidRPr="00282AAB" w:rsidRDefault="00FE13EB" w:rsidP="00FE13EB">
      <w:pPr>
        <w:rPr>
          <w:rFonts w:ascii="Comic Sans MS" w:hAnsi="Comic Sans MS"/>
          <w:b/>
          <w:color w:val="00B050"/>
        </w:rPr>
      </w:pPr>
    </w:p>
    <w:p w:rsidR="00FE13EB" w:rsidRPr="007B674C" w:rsidRDefault="00FE13EB" w:rsidP="00FE13EB">
      <w:pPr>
        <w:rPr>
          <w:rFonts w:ascii="Comic Sans MS" w:hAnsi="Comic Sans MS"/>
          <w:b/>
          <w:color w:val="00B050"/>
          <w:sz w:val="36"/>
          <w:szCs w:val="36"/>
        </w:rPr>
      </w:pPr>
      <w:r w:rsidRPr="00282AAB">
        <w:rPr>
          <w:rFonts w:ascii="Comic Sans MS" w:hAnsi="Comic Sans MS"/>
          <w:b/>
          <w:color w:val="00B050"/>
        </w:rPr>
        <w:tab/>
      </w:r>
      <w:r w:rsidRPr="007B674C">
        <w:rPr>
          <w:rFonts w:ascii="Comic Sans MS" w:hAnsi="Comic Sans MS"/>
          <w:b/>
          <w:color w:val="00B050"/>
          <w:sz w:val="36"/>
          <w:szCs w:val="36"/>
        </w:rPr>
        <w:t>C. LE STYLE (caractéristiques de son écriture)</w:t>
      </w:r>
    </w:p>
    <w:p w:rsidR="0029799E" w:rsidRPr="007B674C" w:rsidRDefault="00FE13EB" w:rsidP="0029799E">
      <w:pPr>
        <w:rPr>
          <w:color w:val="00B0F0"/>
          <w:sz w:val="36"/>
          <w:szCs w:val="36"/>
        </w:rPr>
      </w:pPr>
      <w:r w:rsidRPr="007B674C">
        <w:rPr>
          <w:color w:val="00B0F0"/>
          <w:sz w:val="36"/>
          <w:szCs w:val="36"/>
        </w:rPr>
        <w:t xml:space="preserve">.Derniers cycles romanesques, dans une perspective messianique : </w:t>
      </w:r>
      <w:hyperlink r:id="rId13" w:history="1">
        <w:r w:rsidRPr="007B674C">
          <w:rPr>
            <w:rStyle w:val="Lienhypertexte"/>
            <w:color w:val="00B0F0"/>
            <w:sz w:val="36"/>
            <w:szCs w:val="36"/>
          </w:rPr>
          <w:t>les Trois Villes</w:t>
        </w:r>
      </w:hyperlink>
      <w:r w:rsidRPr="007B674C">
        <w:rPr>
          <w:color w:val="00B0F0"/>
          <w:sz w:val="36"/>
          <w:szCs w:val="36"/>
        </w:rPr>
        <w:t xml:space="preserve"> (1894-1898) ; </w:t>
      </w:r>
      <w:hyperlink r:id="rId14" w:history="1">
        <w:r w:rsidRPr="007B674C">
          <w:rPr>
            <w:rStyle w:val="Lienhypertexte"/>
            <w:color w:val="00B0F0"/>
            <w:sz w:val="36"/>
            <w:szCs w:val="36"/>
          </w:rPr>
          <w:t>les Quatre Évangiles</w:t>
        </w:r>
      </w:hyperlink>
      <w:r w:rsidR="007B674C" w:rsidRPr="007B674C">
        <w:rPr>
          <w:color w:val="00B0F0"/>
          <w:sz w:val="36"/>
          <w:szCs w:val="36"/>
        </w:rPr>
        <w:t xml:space="preserve"> (1899-inachevé)</w:t>
      </w:r>
    </w:p>
    <w:p w:rsidR="007B674C" w:rsidRDefault="007B674C" w:rsidP="007B674C">
      <w:pPr>
        <w:jc w:val="right"/>
        <w:rPr>
          <w:color w:val="00B0F0"/>
          <w:sz w:val="36"/>
          <w:szCs w:val="36"/>
        </w:rPr>
      </w:pPr>
    </w:p>
    <w:p w:rsidR="007B674C" w:rsidRDefault="007B674C" w:rsidP="007B674C">
      <w:pPr>
        <w:tabs>
          <w:tab w:val="left" w:pos="6555"/>
        </w:tabs>
        <w:rPr>
          <w:color w:val="00B0F0"/>
          <w:sz w:val="36"/>
          <w:szCs w:val="36"/>
        </w:rPr>
      </w:pPr>
      <w:r>
        <w:rPr>
          <w:color w:val="00B0F0"/>
          <w:sz w:val="36"/>
          <w:szCs w:val="36"/>
        </w:rPr>
        <w:tab/>
      </w:r>
    </w:p>
    <w:p w:rsidR="007B674C" w:rsidRDefault="007B674C" w:rsidP="007B674C">
      <w:pPr>
        <w:jc w:val="right"/>
        <w:rPr>
          <w:color w:val="00B0F0"/>
          <w:sz w:val="36"/>
          <w:szCs w:val="36"/>
        </w:rPr>
      </w:pPr>
    </w:p>
    <w:p w:rsidR="007B674C" w:rsidRDefault="007B674C" w:rsidP="007B674C">
      <w:pPr>
        <w:jc w:val="right"/>
        <w:rPr>
          <w:color w:val="00B0F0"/>
          <w:sz w:val="36"/>
          <w:szCs w:val="36"/>
        </w:rPr>
      </w:pPr>
    </w:p>
    <w:p w:rsidR="007B674C" w:rsidRDefault="007B674C" w:rsidP="007B674C">
      <w:pPr>
        <w:jc w:val="right"/>
        <w:rPr>
          <w:color w:val="00B0F0"/>
          <w:sz w:val="36"/>
          <w:szCs w:val="36"/>
        </w:rPr>
      </w:pPr>
    </w:p>
    <w:p w:rsidR="007B674C" w:rsidRPr="007B674C" w:rsidRDefault="007B674C" w:rsidP="007B674C">
      <w:pPr>
        <w:jc w:val="right"/>
        <w:rPr>
          <w:rStyle w:val="CitationHTML"/>
          <w:i w:val="0"/>
          <w:iCs w:val="0"/>
          <w:color w:val="00B050"/>
        </w:rPr>
      </w:pPr>
      <w:r w:rsidRPr="007B674C">
        <w:rPr>
          <w:color w:val="00B050"/>
        </w:rPr>
        <w:t>Source :</w:t>
      </w:r>
      <w:r w:rsidRPr="007B674C">
        <w:rPr>
          <w:rStyle w:val="Lienhypertexte"/>
          <w:color w:val="00B050"/>
        </w:rPr>
        <w:t xml:space="preserve"> </w:t>
      </w:r>
      <w:hyperlink r:id="rId15" w:history="1">
        <w:r w:rsidRPr="007B674C">
          <w:rPr>
            <w:rStyle w:val="Lienhypertexte"/>
            <w:color w:val="00B050"/>
          </w:rPr>
          <w:t>www.larousse.fr/encyclopedie/personnage/Émile_</w:t>
        </w:r>
        <w:r w:rsidRPr="007B674C">
          <w:rPr>
            <w:rStyle w:val="Lienhypertexte"/>
            <w:b/>
            <w:bCs/>
            <w:color w:val="00B050"/>
          </w:rPr>
          <w:t>Zola</w:t>
        </w:r>
        <w:r w:rsidRPr="007B674C">
          <w:rPr>
            <w:rStyle w:val="Lienhypertexte"/>
            <w:color w:val="00B050"/>
          </w:rPr>
          <w:t>/150676</w:t>
        </w:r>
      </w:hyperlink>
      <w:r w:rsidRPr="007B674C">
        <w:rPr>
          <w:rStyle w:val="CitationHTML"/>
          <w:i w:val="0"/>
          <w:iCs w:val="0"/>
          <w:color w:val="00B050"/>
        </w:rPr>
        <w:t xml:space="preserve">  </w:t>
      </w:r>
    </w:p>
    <w:p w:rsidR="007B674C" w:rsidRPr="007B674C" w:rsidRDefault="007B674C" w:rsidP="0029799E">
      <w:pPr>
        <w:rPr>
          <w:i/>
          <w:iCs/>
        </w:rPr>
      </w:pPr>
    </w:p>
    <w:sectPr w:rsidR="007B674C" w:rsidRPr="007B674C" w:rsidSect="00316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77A5"/>
    <w:rsid w:val="0029799E"/>
    <w:rsid w:val="003168A3"/>
    <w:rsid w:val="003C6D0E"/>
    <w:rsid w:val="007B674C"/>
    <w:rsid w:val="00AF77A5"/>
    <w:rsid w:val="00D173FD"/>
    <w:rsid w:val="00E16396"/>
    <w:rsid w:val="00FE1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E13EB"/>
    <w:rPr>
      <w:color w:val="0000FF"/>
      <w:u w:val="single"/>
    </w:rPr>
  </w:style>
  <w:style w:type="character" w:styleId="CitationHTML">
    <w:name w:val="HTML Cite"/>
    <w:basedOn w:val="Policepardfaut"/>
    <w:uiPriority w:val="99"/>
    <w:semiHidden/>
    <w:unhideWhenUsed/>
    <w:rsid w:val="007B674C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6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67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rousse.fr/encyclopedie/oeuvre/les_Trois_Villes/149642" TargetMode="External"/><Relationship Id="rId13" Type="http://schemas.openxmlformats.org/officeDocument/2006/relationships/hyperlink" Target="http://www.larousse.fr/encyclopedie/oeuvre/les_Trois_Villes/149642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larousse.fr/encyclopedie/personnage/Paul_C%C3%A9zanne/112455" TargetMode="External"/><Relationship Id="rId12" Type="http://schemas.openxmlformats.org/officeDocument/2006/relationships/hyperlink" Target="http://www.larousse.fr/encyclopedie/oeuvre/le_Ventre_de_Paris/14855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larousse.fr/encyclopedie/oeuvre/la_Fortune_des_Rougon/149647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larousse.fr/encyclopedie/personnage/&#201;mile_Zola/150676" TargetMode="External"/><Relationship Id="rId10" Type="http://schemas.openxmlformats.org/officeDocument/2006/relationships/hyperlink" Target="http://www.larousse.fr/encyclopedie/oeuvre/les_Rougon-Macquart/1416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rousse.fr/encyclopedie/oeuvre/Quatre_%C3%89vangiles/149646" TargetMode="External"/><Relationship Id="rId14" Type="http://schemas.openxmlformats.org/officeDocument/2006/relationships/hyperlink" Target="http://www.larousse.fr/encyclopedie/oeuvre/Quatre_%C3%89vangiles/14964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BE82A-6992-4FCC-A2D9-8423FB838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519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admin</dc:creator>
  <cp:lastModifiedBy>admin admin</cp:lastModifiedBy>
  <cp:revision>5</cp:revision>
  <dcterms:created xsi:type="dcterms:W3CDTF">2016-03-24T22:09:00Z</dcterms:created>
  <dcterms:modified xsi:type="dcterms:W3CDTF">2016-03-31T22:12:00Z</dcterms:modified>
</cp:coreProperties>
</file>